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 </w:t>
      </w:r>
      <w:bookmarkStart w:id="0" w:name="_GoBack"/>
      <w:bookmarkEnd w:id="0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R4-2204919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highlight w:val="none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– 3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Mar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>
      <w:pPr>
        <w:pStyle w:val="13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</w:p>
    <w:p>
      <w:pPr>
        <w:pStyle w:val="13"/>
        <w:tabs>
          <w:tab w:val="left" w:pos="1800"/>
          <w:tab w:val="clear" w:pos="4536"/>
        </w:tabs>
        <w:spacing w:after="60"/>
        <w:ind w:left="1807" w:hanging="1801" w:hangingChars="750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/>
          <w:color w:val="auto"/>
          <w:sz w:val="24"/>
        </w:rPr>
        <w:t>Test setup for 15 kHz SCS scenario</w:t>
      </w:r>
    </w:p>
    <w:p>
      <w:pPr>
        <w:pStyle w:val="13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10.12.2.3.3</w:t>
      </w:r>
    </w:p>
    <w:p>
      <w:pPr>
        <w:pStyle w:val="13"/>
        <w:tabs>
          <w:tab w:val="left" w:pos="1800"/>
        </w:tabs>
        <w:snapToGrid w:val="0"/>
        <w:spacing w:after="24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Discussion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>
      <w:pPr>
        <w:pStyle w:val="3"/>
        <w:numPr>
          <w:ilvl w:val="0"/>
          <w:numId w:val="0"/>
        </w:numPr>
        <w:tabs>
          <w:tab w:val="left" w:pos="226"/>
          <w:tab w:val="left" w:pos="284"/>
          <w:tab w:val="left" w:pos="5103"/>
        </w:tabs>
        <w:snapToGrid w:val="0"/>
        <w:spacing w:before="156" w:beforeLines="50"/>
        <w:ind w:leftChars="0"/>
        <w:jc w:val="both"/>
        <w:rPr>
          <w:rFonts w:hint="eastAsia"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 xml:space="preserve">In RAN4#101-bits-e meeting, test setup for 15 kHz SCS scenario was </w:t>
      </w:r>
      <w:r>
        <w:rPr>
          <w:rFonts w:eastAsia="宋体"/>
          <w:sz w:val="21"/>
          <w:szCs w:val="21"/>
          <w:lang w:val="en-US" w:eastAsia="zh-CN"/>
        </w:rPr>
        <w:t>discussed</w:t>
      </w:r>
      <w:r>
        <w:rPr>
          <w:rFonts w:hint="eastAsia" w:eastAsia="宋体"/>
          <w:sz w:val="21"/>
          <w:szCs w:val="21"/>
          <w:lang w:val="en-US" w:eastAsia="zh-CN"/>
        </w:rPr>
        <w:t xml:space="preserve">, and </w:t>
      </w:r>
      <w:r>
        <w:rPr>
          <w:rFonts w:eastAsia="宋体"/>
          <w:sz w:val="21"/>
          <w:szCs w:val="21"/>
          <w:lang w:val="en-US" w:eastAsia="zh-CN"/>
        </w:rPr>
        <w:t>a</w:t>
      </w:r>
      <w:r>
        <w:rPr>
          <w:rFonts w:hint="eastAsia" w:eastAsia="宋体"/>
          <w:sz w:val="21"/>
          <w:szCs w:val="21"/>
          <w:lang w:val="en-US" w:eastAsia="zh-CN"/>
        </w:rPr>
        <w:t xml:space="preserve"> way forward was agreed</w:t>
      </w:r>
      <w:r>
        <w:rPr>
          <w:rFonts w:eastAsia="宋体"/>
          <w:sz w:val="21"/>
          <w:szCs w:val="21"/>
          <w:lang w:val="en-US" w:eastAsia="zh-CN"/>
        </w:rPr>
        <w:t xml:space="preserve"> [1]</w:t>
      </w:r>
      <w:r>
        <w:rPr>
          <w:rFonts w:hint="eastAsia" w:eastAsia="宋体"/>
          <w:sz w:val="21"/>
          <w:szCs w:val="21"/>
          <w:lang w:val="en-US" w:eastAsia="zh-CN"/>
        </w:rPr>
        <w:t xml:space="preserve">. </w:t>
      </w:r>
      <w:r>
        <w:rPr>
          <w:rFonts w:eastAsia="宋体"/>
          <w:sz w:val="21"/>
          <w:szCs w:val="21"/>
          <w:lang w:val="en-US" w:eastAsia="zh-CN"/>
        </w:rPr>
        <w:t>Regarding</w:t>
      </w:r>
      <w:r>
        <w:rPr>
          <w:rFonts w:hint="eastAsia" w:eastAsia="宋体"/>
          <w:sz w:val="21"/>
          <w:szCs w:val="21"/>
          <w:lang w:val="en-US" w:eastAsia="zh-CN"/>
        </w:rPr>
        <w:t xml:space="preserve"> n</w:t>
      </w:r>
      <w:r>
        <w:rPr>
          <w:rFonts w:hint="eastAsia"/>
          <w:sz w:val="21"/>
          <w:szCs w:val="21"/>
          <w:lang w:val="en-US" w:eastAsia="zh-CN"/>
        </w:rPr>
        <w:t xml:space="preserve">ecessity of </w:t>
      </w:r>
      <w:r>
        <w:rPr>
          <w:rFonts w:hint="eastAsia" w:eastAsia="宋体"/>
          <w:sz w:val="21"/>
          <w:szCs w:val="21"/>
          <w:lang w:val="en-US" w:eastAsia="zh-CN"/>
        </w:rPr>
        <w:t xml:space="preserve">test setup for 15 kHz SCS scenario for CRS-IM receiver, there are still some </w:t>
      </w:r>
      <w:r>
        <w:rPr>
          <w:rFonts w:eastAsia="宋体"/>
          <w:sz w:val="21"/>
          <w:szCs w:val="21"/>
          <w:lang w:val="en-US" w:eastAsia="zh-CN"/>
        </w:rPr>
        <w:t>issues</w:t>
      </w:r>
      <w:r>
        <w:rPr>
          <w:rFonts w:hint="eastAsia" w:eastAsia="宋体"/>
          <w:sz w:val="21"/>
          <w:szCs w:val="21"/>
          <w:lang w:val="en-US" w:eastAsia="zh-CN"/>
        </w:rPr>
        <w:t xml:space="preserve"> open, we would like to share our views on the following three issues for further discussion: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PDSCH loading level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Interference power level</w:t>
      </w:r>
    </w:p>
    <w:p>
      <w:pPr>
        <w:numPr>
          <w:ilvl w:val="0"/>
          <w:numId w:val="4"/>
        </w:numPr>
        <w:ind w:left="420" w:leftChars="0" w:hanging="420" w:firstLineChars="0"/>
        <w:rPr>
          <w:rFonts w:hint="default"/>
          <w:sz w:val="21"/>
          <w:szCs w:val="21"/>
          <w:lang w:val="en-US" w:eastAsia="zh-CN"/>
        </w:rPr>
      </w:pPr>
      <w:r>
        <w:rPr>
          <w:rFonts w:hint="default"/>
          <w:sz w:val="21"/>
          <w:szCs w:val="21"/>
          <w:lang w:val="en-US" w:eastAsia="zh-CN"/>
        </w:rPr>
        <w:t>Tx antenna and LTE CRS port number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hint="default"/>
          <w:sz w:val="21"/>
          <w:szCs w:val="21"/>
          <w:lang w:val="en-US" w:eastAsia="en-GB"/>
        </w:rPr>
      </w:pPr>
      <w:r>
        <w:rPr>
          <w:rFonts w:hint="eastAsia" w:eastAsia="宋体"/>
          <w:color w:val="auto"/>
          <w:lang w:eastAsia="zh-CN"/>
        </w:rPr>
        <w:t>Discussion</w:t>
      </w:r>
    </w:p>
    <w:p>
      <w:pPr>
        <w:snapToGrid w:val="0"/>
        <w:spacing w:before="120" w:after="120"/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eastAsia="zh-CN"/>
        </w:rPr>
        <w:t>PDSCH loading level</w:t>
      </w:r>
    </w:p>
    <w:p>
      <w:pPr>
        <w:spacing w:after="120"/>
        <w:rPr>
          <w:rFonts w:eastAsia="宋体"/>
          <w:sz w:val="21"/>
          <w:szCs w:val="21"/>
          <w:lang w:eastAsia="en-GB"/>
        </w:rPr>
      </w:pPr>
      <w:r>
        <w:rPr>
          <w:rFonts w:eastAsia="宋体"/>
          <w:sz w:val="21"/>
          <w:szCs w:val="21"/>
          <w:lang w:eastAsia="en-GB"/>
        </w:rPr>
        <w:t>Discussion in last meeting from [1] is summarized below: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numPr>
                <w:ilvl w:val="0"/>
                <w:numId w:val="5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1: Add one of the combinations below that achieves about 1dB performance gain over the reference scheme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Loading 30 %, INR 1 = 9.69 dB, INR 2 = 3.7 dB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Loading 40 %, INR 1 = 8.79 dB, INR 2 = 2.7 dB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517" w:leftChars="0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Loading 50 %, INR 1 = 8.36 dB, INR 2 = 1.7 dB</w:t>
            </w:r>
          </w:p>
          <w:p>
            <w:pPr>
              <w:pStyle w:val="27"/>
              <w:numPr>
                <w:ilvl w:val="0"/>
                <w:numId w:val="5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2: Only consider 20% PDSCH loading level</w:t>
            </w:r>
          </w:p>
          <w:p>
            <w:pPr>
              <w:pStyle w:val="27"/>
              <w:numPr>
                <w:ilvl w:val="0"/>
                <w:numId w:val="5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3: Consider 30% interference PDSCH loading for Scenario 1 and 20% interference PDSCH loading for Scenario 2</w:t>
            </w:r>
          </w:p>
          <w:p>
            <w:pPr>
              <w:pStyle w:val="27"/>
              <w:numPr>
                <w:ilvl w:val="0"/>
                <w:numId w:val="5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4: Also include 80% loading</w:t>
            </w:r>
          </w:p>
          <w:p>
            <w:pPr>
              <w:pStyle w:val="27"/>
              <w:numPr>
                <w:ilvl w:val="0"/>
                <w:numId w:val="5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5: Further check 30% loading level</w:t>
            </w:r>
          </w:p>
          <w:p>
            <w:pPr>
              <w:pStyle w:val="27"/>
              <w:numPr>
                <w:ilvl w:val="0"/>
                <w:numId w:val="5"/>
              </w:numPr>
              <w:snapToGrid w:val="0"/>
              <w:spacing w:before="120" w:after="120"/>
              <w:ind w:left="-414" w:leftChars="0" w:hanging="426"/>
              <w:contextualSpacing w:val="0"/>
              <w:rPr>
                <w:rFonts w:hint="default"/>
                <w:vertAlign w:val="baseline"/>
                <w:lang w:val="en-US" w:eastAsia="en-GB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6: Either 30% or 20%</w:t>
            </w:r>
          </w:p>
        </w:tc>
      </w:tr>
    </w:tbl>
    <w:p>
      <w:pPr>
        <w:rPr>
          <w:rFonts w:hint="default" w:eastAsia="宋体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</w:pPr>
      <w:r>
        <w:rPr>
          <w:rFonts w:hint="eastAsia" w:eastAsia="宋体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>Based on our simulation results, 20% PDSCH loading level is a good condition that has high performance for LLR weighting. On the other hand, it</w:t>
      </w:r>
      <w:r>
        <w:rPr>
          <w:rFonts w:hint="default" w:eastAsia="宋体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>’</w:t>
      </w:r>
      <w:r>
        <w:rPr>
          <w:rFonts w:hint="eastAsia" w:eastAsia="宋体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>s not only focus on 20% loading but also should consider other loadings with relative lower performance gain. So it should add more loadings such as 30%, 40% and 50% with lower performance gain.</w:t>
      </w:r>
    </w:p>
    <w:p>
      <w:pPr>
        <w:rPr>
          <w:rFonts w:hint="default" w:eastAsia="宋体" w:cs="Times New Roman"/>
          <w:b w:val="0"/>
          <w:bCs w:val="0"/>
          <w:i w:val="0"/>
          <w:iCs w:val="0"/>
          <w:sz w:val="20"/>
          <w:szCs w:val="20"/>
          <w:u w:val="none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: Add more loadings such as </w:t>
      </w:r>
      <w:r>
        <w:rPr>
          <w:rFonts w:hint="eastAsia" w:eastAsia="宋体" w:cs="Times New Roman"/>
          <w:b/>
          <w:bCs/>
          <w:i w:val="0"/>
          <w:iCs w:val="0"/>
          <w:sz w:val="21"/>
          <w:szCs w:val="21"/>
          <w:u w:val="none"/>
          <w:lang w:val="en-US" w:eastAsia="zh-CN"/>
        </w:rPr>
        <w:t>30%, 40% and 50% with lower performance gain.</w:t>
      </w:r>
    </w:p>
    <w:p>
      <w:pPr>
        <w:rPr>
          <w:rFonts w:hint="eastAsia" w:ascii="Times New Roman" w:hAnsi="Times New Roman" w:cs="Times New Roman"/>
          <w:b/>
          <w:bCs/>
          <w:i w:val="0"/>
          <w:iCs w:val="0"/>
          <w:sz w:val="21"/>
          <w:szCs w:val="21"/>
          <w:u w:val="single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sz w:val="21"/>
          <w:szCs w:val="21"/>
          <w:u w:val="single"/>
        </w:rPr>
        <w:t>Interference power level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numPr>
                <w:ilvl w:val="0"/>
                <w:numId w:val="7"/>
              </w:numPr>
              <w:snapToGrid w:val="0"/>
              <w:spacing w:before="120" w:after="120"/>
              <w:ind w:left="420" w:leftChars="0" w:hanging="420" w:firstLineChars="0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1: Add one of the combinations below that achieves about 1dB performance gain over the reference scheme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937" w:leftChars="257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Loading 30 %, INR 1 = 9.69 dB, INR 2 = 3.7 dB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937" w:leftChars="257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Loading 40 %, INR 1 = 8.79 dB, INR 2 = 2.7 dB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937" w:leftChars="257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Loading 50 %, INR 1 = 8.36 dB, INR 2 = 1.7 dB</w:t>
            </w:r>
          </w:p>
          <w:p>
            <w:pPr>
              <w:widowControl w:val="0"/>
              <w:numPr>
                <w:ilvl w:val="0"/>
                <w:numId w:val="8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420" w:leftChars="0" w:hanging="420" w:firstLineChars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2: Only consider INR1 = 10.45 dB and INR2 = 4.6 dB </w:t>
            </w:r>
          </w:p>
          <w:p>
            <w:pPr>
              <w:pStyle w:val="27"/>
              <w:numPr>
                <w:ilvl w:val="0"/>
                <w:numId w:val="9"/>
              </w:numPr>
              <w:snapToGrid w:val="0"/>
              <w:spacing w:before="120" w:after="120"/>
              <w:ind w:left="420" w:leftChars="0" w:hanging="420" w:firstLineChars="0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 xml:space="preserve">Option 3: Only consider INR1 = 10.45 dB and INR2 = 4.6 dB in case of 20% interference PDSCH loading </w:t>
            </w:r>
          </w:p>
          <w:p>
            <w:pPr>
              <w:pStyle w:val="27"/>
              <w:numPr>
                <w:ilvl w:val="0"/>
                <w:numId w:val="10"/>
              </w:numPr>
              <w:snapToGrid w:val="0"/>
              <w:spacing w:before="120" w:after="120"/>
              <w:ind w:left="420" w:leftChars="0" w:hanging="420" w:firstLineChars="0"/>
              <w:contextualSpacing w:val="0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4: 30% PDSCH loading and INR 1 = 9.69 dB, INR 2 = 3.7 dB for Scenario 1 and 20% interference PDSCH loading and INR1 = 10.45 dB and INR2 = 4.6 dB for Scenario 2</w:t>
            </w:r>
          </w:p>
        </w:tc>
      </w:tr>
    </w:tbl>
    <w:p>
      <w:pPr>
        <w:snapToGrid w:val="0"/>
        <w:spacing w:before="120" w:after="120"/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eastAsia="宋体" w:cs="Times New Roman"/>
          <w:b w:val="0"/>
          <w:bCs w:val="0"/>
          <w:sz w:val="21"/>
          <w:szCs w:val="21"/>
          <w:lang w:val="en-US" w:eastAsia="zh-CN"/>
        </w:rPr>
        <w:t xml:space="preserve">The conclusion is same as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1"/>
          <w:szCs w:val="21"/>
          <w:u w:val="none"/>
          <w:lang w:eastAsia="zh-CN"/>
        </w:rPr>
        <w:t>PDSCH loading level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>.</w:t>
      </w:r>
    </w:p>
    <w:p>
      <w:pPr>
        <w:rPr>
          <w:rFonts w:hint="eastAsia" w:ascii="Times New Roman" w:hAnsi="Times New Roman" w:eastAsia="宋体" w:cs="Times New Roman"/>
          <w:b/>
          <w:bCs/>
          <w:i w:val="0"/>
          <w:iCs w:val="0"/>
          <w:sz w:val="20"/>
          <w:szCs w:val="20"/>
          <w:u w:val="single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2: A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>dd more interference power levels</w:t>
      </w:r>
      <w:r>
        <w:rPr>
          <w:rFonts w:hint="eastAsia" w:eastAsia="宋体" w:cs="Times New Roman"/>
          <w:b/>
          <w:bCs/>
          <w:i w:val="0"/>
          <w:iCs w:val="0"/>
          <w:sz w:val="21"/>
          <w:szCs w:val="21"/>
          <w:u w:val="none"/>
          <w:lang w:val="en-US" w:eastAsia="zh-CN"/>
        </w:rPr>
        <w:t xml:space="preserve"> with lower performance gain.</w:t>
      </w:r>
    </w:p>
    <w:p>
      <w:pPr>
        <w:snapToGrid w:val="0"/>
        <w:spacing w:before="120" w:after="120"/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0"/>
          <w:szCs w:val="20"/>
          <w:u w:val="single"/>
          <w:lang w:eastAsia="zh-CN"/>
        </w:rPr>
        <w:t>Tx antenna and LTE CRS port number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7"/>
              <w:numPr>
                <w:ilvl w:val="0"/>
                <w:numId w:val="10"/>
              </w:numPr>
              <w:snapToGrid w:val="0"/>
              <w:spacing w:before="120" w:after="120"/>
              <w:ind w:left="420" w:leftChars="0" w:hanging="420" w:firstLineChars="0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1: Only cover 4 CRS ports</w:t>
            </w:r>
          </w:p>
          <w:p>
            <w:pPr>
              <w:pStyle w:val="27"/>
              <w:numPr>
                <w:ilvl w:val="0"/>
                <w:numId w:val="11"/>
              </w:numPr>
              <w:snapToGrid w:val="0"/>
              <w:spacing w:before="120" w:after="120"/>
              <w:ind w:left="420" w:leftChars="0" w:hanging="420" w:firstLineChars="0"/>
              <w:contextualSpacing w:val="0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2: Cover 2 and 4 for CRS ports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937" w:leftChars="257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2A: Consider 2 CRS ports for Scenario 1 and 4 CRS ports for Scenario 2</w:t>
            </w:r>
          </w:p>
          <w:p>
            <w:pPr>
              <w:widowControl w:val="0"/>
              <w:numPr>
                <w:ilvl w:val="1"/>
                <w:numId w:val="6"/>
              </w:numPr>
              <w:tabs>
                <w:tab w:val="left" w:pos="484"/>
                <w:tab w:val="left" w:pos="709"/>
                <w:tab w:val="left" w:pos="993"/>
                <w:tab w:val="left" w:pos="1440"/>
                <w:tab w:val="left" w:pos="1701"/>
              </w:tabs>
              <w:snapToGrid w:val="0"/>
              <w:spacing w:before="120" w:after="120"/>
              <w:ind w:left="937" w:leftChars="257" w:hanging="423"/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2B: Use different CRS port number in the tests with different INR levels</w:t>
            </w:r>
          </w:p>
          <w:p>
            <w:pPr>
              <w:pStyle w:val="27"/>
              <w:numPr>
                <w:ilvl w:val="0"/>
                <w:numId w:val="12"/>
              </w:numPr>
              <w:snapToGrid w:val="0"/>
              <w:spacing w:before="120" w:after="120"/>
              <w:ind w:left="420" w:leftChars="0" w:hanging="420" w:firstLineChars="0"/>
              <w:contextualSpacing w:val="0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sz w:val="21"/>
                <w:szCs w:val="21"/>
                <w:u w:val="single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ko-KR"/>
              </w:rPr>
              <w:t>Option 3: Only cover 2 CRS ports (Nokia)</w:t>
            </w:r>
          </w:p>
        </w:tc>
      </w:tr>
    </w:tbl>
    <w:p>
      <w:pPr>
        <w:jc w:val="both"/>
        <w:rPr>
          <w:rFonts w:hint="default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 xml:space="preserve">According the conclusion of last meeting[1], </w:t>
      </w:r>
      <w:r>
        <w:rPr>
          <w:rFonts w:hint="default" w:ascii="Times New Roman" w:hAnsi="Times New Roman" w:cs="Times New Roman"/>
          <w:sz w:val="21"/>
          <w:szCs w:val="21"/>
          <w:lang w:eastAsia="ko-KR"/>
        </w:rPr>
        <w:t>4 CRS ports for Scenario 2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as baseline assumption. For scenario 1, our simulation was based on 4 CRS ports. It is necessary to verify the performance of 2 CRS ports for scenario 1. If there is no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>significant performance difference</w:t>
      </w:r>
      <w:r>
        <w:rPr>
          <w:rFonts w:hint="eastAsia" w:cs="Times New Roman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 xml:space="preserve"> in 2 CRS ports. Only consider 4 ports for Scenario 1.</w:t>
      </w:r>
    </w:p>
    <w:p>
      <w:pPr>
        <w:rPr>
          <w:rFonts w:hint="eastAsia" w:eastAsia="宋体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3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sz w:val="20"/>
          <w:szCs w:val="20"/>
          <w:lang w:eastAsia="ko-KR"/>
        </w:rPr>
        <w:t>Consider 2 CRS ports for Scenario 1 and 4 CRS ports for Scenario 2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>Conclusion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color w:val="auto"/>
          <w:sz w:val="21"/>
          <w:szCs w:val="21"/>
          <w:lang w:val="en-GB" w:eastAsia="zh-CN"/>
        </w:rPr>
      </w:pPr>
      <w:r>
        <w:rPr>
          <w:rFonts w:eastAsia="宋体"/>
          <w:bCs/>
          <w:color w:val="auto"/>
          <w:sz w:val="21"/>
          <w:szCs w:val="21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>contribution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proposals 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for</w:t>
      </w:r>
      <w:r>
        <w:rPr>
          <w:rFonts w:hint="eastAsia" w:eastAsia="宋体"/>
          <w:bCs/>
          <w:color w:val="auto"/>
          <w:sz w:val="21"/>
          <w:szCs w:val="21"/>
          <w:lang w:val="en-US" w:eastAsia="zh-CN"/>
        </w:rPr>
        <w:t xml:space="preserve"> test setup for 15 kHz SCS scenario</w:t>
      </w:r>
      <w:r>
        <w:rPr>
          <w:rFonts w:eastAsia="宋体"/>
          <w:bCs/>
          <w:color w:val="auto"/>
          <w:sz w:val="21"/>
          <w:szCs w:val="21"/>
          <w:lang w:val="en-GB" w:eastAsia="zh-CN"/>
        </w:rPr>
        <w:t>:</w:t>
      </w:r>
    </w:p>
    <w:p>
      <w:pPr>
        <w:rPr>
          <w:rFonts w:hint="eastAsia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1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: Add more loadings such as </w:t>
      </w:r>
      <w:r>
        <w:rPr>
          <w:rFonts w:hint="eastAsia" w:eastAsia="宋体" w:cs="Times New Roman"/>
          <w:b/>
          <w:bCs/>
          <w:i w:val="0"/>
          <w:iCs w:val="0"/>
          <w:sz w:val="21"/>
          <w:szCs w:val="21"/>
          <w:u w:val="none"/>
          <w:lang w:val="en-US" w:eastAsia="zh-CN"/>
        </w:rPr>
        <w:t>30%, 40% and 50% with lower performance gain.</w:t>
      </w:r>
    </w:p>
    <w:p>
      <w:pPr>
        <w:snapToGrid w:val="0"/>
        <w:spacing w:before="120" w:after="120"/>
        <w:rPr>
          <w:rFonts w:hint="eastAsia" w:eastAsia="宋体" w:cs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2: A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>dd more interference power levels</w:t>
      </w:r>
      <w:r>
        <w:rPr>
          <w:rFonts w:hint="eastAsia" w:eastAsia="宋体" w:cs="Times New Roman"/>
          <w:b/>
          <w:bCs/>
          <w:i w:val="0"/>
          <w:iCs w:val="0"/>
          <w:sz w:val="21"/>
          <w:szCs w:val="21"/>
          <w:u w:val="none"/>
          <w:lang w:val="en-US" w:eastAsia="zh-CN"/>
        </w:rPr>
        <w:t xml:space="preserve"> with lower performance gain.</w:t>
      </w:r>
    </w:p>
    <w:p>
      <w:pPr>
        <w:rPr>
          <w:rFonts w:hint="eastAsia" w:eastAsia="宋体" w:cs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t xml:space="preserve">Proposal </w:t>
      </w:r>
      <w:r>
        <w:rPr>
          <w:rFonts w:hint="eastAsia" w:eastAsia="宋体" w:cs="Times New Roman"/>
          <w:b/>
          <w:bCs/>
          <w:sz w:val="21"/>
          <w:szCs w:val="21"/>
          <w:lang w:val="en-US" w:eastAsia="zh-CN"/>
        </w:rPr>
        <w:t>3</w:t>
      </w:r>
      <w:r>
        <w:rPr>
          <w:rFonts w:hint="eastAsia" w:cs="Times New Roman"/>
          <w:b/>
          <w:bCs/>
          <w:sz w:val="21"/>
          <w:szCs w:val="21"/>
          <w:lang w:val="en-US" w:eastAsia="zh-CN"/>
        </w:rPr>
        <w:t xml:space="preserve">: </w:t>
      </w:r>
      <w:r>
        <w:rPr>
          <w:rFonts w:hint="default" w:ascii="Times New Roman" w:hAnsi="Times New Roman" w:cs="Times New Roman"/>
          <w:b/>
          <w:bCs/>
          <w:sz w:val="20"/>
          <w:szCs w:val="20"/>
          <w:lang w:eastAsia="ko-KR"/>
        </w:rPr>
        <w:t>Consider 2 CRS ports for Scenario 1 and 4 CRS ports for Scenario 2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>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>
      <w:pPr>
        <w:numPr>
          <w:ilvl w:val="0"/>
          <w:numId w:val="13"/>
        </w:numPr>
        <w:rPr>
          <w:color w:val="auto"/>
        </w:rPr>
      </w:pPr>
      <w:r>
        <w:rPr>
          <w:rFonts w:hint="eastAsia"/>
          <w:sz w:val="21"/>
          <w:szCs w:val="21"/>
          <w:lang w:val="en-US" w:eastAsia="zh-CN"/>
        </w:rPr>
        <w:t xml:space="preserve">R4-2203028, </w:t>
      </w:r>
      <w:r>
        <w:rPr>
          <w:sz w:val="21"/>
          <w:szCs w:val="21"/>
        </w:rPr>
        <w:t>“</w:t>
      </w:r>
      <w:r>
        <w:rPr>
          <w:rFonts w:hint="eastAsia"/>
          <w:sz w:val="21"/>
          <w:szCs w:val="21"/>
          <w:lang w:val="en-US" w:eastAsia="zh-CN"/>
        </w:rPr>
        <w:t xml:space="preserve">WF on general part and 15kHz NR SCS scenario for </w:t>
      </w:r>
      <w:r>
        <w:rPr>
          <w:rFonts w:hint="default"/>
          <w:sz w:val="21"/>
          <w:szCs w:val="21"/>
          <w:lang w:val="en-US" w:eastAsia="zh-CN"/>
        </w:rPr>
        <w:t>CRS-IM receiver”</w:t>
      </w:r>
      <w:r>
        <w:rPr>
          <w:rFonts w:hint="eastAsia"/>
          <w:sz w:val="21"/>
          <w:szCs w:val="21"/>
          <w:lang w:val="en-US" w:eastAsia="zh-CN"/>
        </w:rPr>
        <w:t>. China Telecom</w:t>
      </w:r>
    </w:p>
    <w:p>
      <w:pPr>
        <w:numPr>
          <w:ilvl w:val="0"/>
          <w:numId w:val="0"/>
        </w:numPr>
        <w:rPr>
          <w:rFonts w:hint="default" w:ascii="Times New Roman" w:hAnsi="Times New Roman" w:cs="Times New Roman"/>
          <w:bCs/>
          <w:lang w:val="en-US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A53021"/>
    <w:multiLevelType w:val="singleLevel"/>
    <w:tmpl w:val="86A5302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1">
    <w:nsid w:val="A248B481"/>
    <w:multiLevelType w:val="singleLevel"/>
    <w:tmpl w:val="A248B48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C8E161F8"/>
    <w:multiLevelType w:val="singleLevel"/>
    <w:tmpl w:val="C8E161F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3">
    <w:nsid w:val="FE489C1D"/>
    <w:multiLevelType w:val="singleLevel"/>
    <w:tmpl w:val="FE489C1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4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21B7ADA2"/>
    <w:multiLevelType w:val="singleLevel"/>
    <w:tmpl w:val="21B7ADA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6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1656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36C37563"/>
    <w:multiLevelType w:val="singleLevel"/>
    <w:tmpl w:val="36C3756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8">
    <w:nsid w:val="4D6E3167"/>
    <w:multiLevelType w:val="multilevel"/>
    <w:tmpl w:val="4D6E3167"/>
    <w:lvl w:ilvl="0" w:tentative="0">
      <w:start w:val="1"/>
      <w:numFmt w:val="decimal"/>
      <w:pStyle w:val="41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FDF6938"/>
    <w:multiLevelType w:val="singleLevel"/>
    <w:tmpl w:val="4FDF693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3"/>
        <w:szCs w:val="13"/>
      </w:rPr>
    </w:lvl>
  </w:abstractNum>
  <w:abstractNum w:abstractNumId="10">
    <w:nsid w:val="5BB60EA3"/>
    <w:multiLevelType w:val="multilevel"/>
    <w:tmpl w:val="5BB60EA3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300" w:hanging="360"/>
      </w:pPr>
      <w:rPr>
        <w:rFonts w:hint="default" w:ascii="Symbol" w:hAnsi="Symbol"/>
      </w:rPr>
    </w:lvl>
    <w:lvl w:ilvl="1" w:tentative="0">
      <w:start w:val="4"/>
      <w:numFmt w:val="bullet"/>
      <w:lvlText w:val="-"/>
      <w:lvlJc w:val="left"/>
      <w:pPr>
        <w:tabs>
          <w:tab w:val="left" w:pos="-420"/>
        </w:tabs>
        <w:ind w:left="1020" w:hanging="360"/>
      </w:pPr>
      <w:rPr>
        <w:rFonts w:hint="default" w:ascii="Arial" w:hAnsi="Arial" w:eastAsia="Times New Roman" w:cs="Arial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hint="default" w:ascii="Wingdings" w:hAnsi="Wingdings"/>
      </w:rPr>
    </w:lvl>
  </w:abstractNum>
  <w:abstractNum w:abstractNumId="11">
    <w:nsid w:val="6B5B4F67"/>
    <w:multiLevelType w:val="multilevel"/>
    <w:tmpl w:val="6B5B4F67"/>
    <w:lvl w:ilvl="0" w:tentative="0">
      <w:start w:val="1"/>
      <w:numFmt w:val="decimal"/>
      <w:pStyle w:val="8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12">
    <w:nsid w:val="7C759480"/>
    <w:multiLevelType w:val="singleLevel"/>
    <w:tmpl w:val="7C759480"/>
    <w:lvl w:ilvl="0" w:tentative="0">
      <w:start w:val="1"/>
      <w:numFmt w:val="decimal"/>
      <w:suff w:val="space"/>
      <w:lvlText w:val="[%1]"/>
      <w:lvlJc w:val="left"/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"/>
  </w:num>
  <w:num w:numId="5">
    <w:abstractNumId w:val="10"/>
  </w:num>
  <w:num w:numId="6">
    <w:abstractNumId w:val="6"/>
  </w:num>
  <w:num w:numId="7">
    <w:abstractNumId w:val="7"/>
  </w:num>
  <w:num w:numId="8">
    <w:abstractNumId w:val="5"/>
  </w:num>
  <w:num w:numId="9">
    <w:abstractNumId w:val="0"/>
  </w:num>
  <w:num w:numId="10">
    <w:abstractNumId w:val="9"/>
  </w:num>
  <w:num w:numId="11">
    <w:abstractNumId w:val="3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75FAB"/>
    <w:rsid w:val="0405471F"/>
    <w:rsid w:val="043127FB"/>
    <w:rsid w:val="045D5DCE"/>
    <w:rsid w:val="05200480"/>
    <w:rsid w:val="05AB7D3F"/>
    <w:rsid w:val="06AA1695"/>
    <w:rsid w:val="07515964"/>
    <w:rsid w:val="07B02480"/>
    <w:rsid w:val="07CD3CDD"/>
    <w:rsid w:val="082E2B5F"/>
    <w:rsid w:val="0AE00CA2"/>
    <w:rsid w:val="0CA441B6"/>
    <w:rsid w:val="0CC1076F"/>
    <w:rsid w:val="0CF9211F"/>
    <w:rsid w:val="0DFD395C"/>
    <w:rsid w:val="0E485F1A"/>
    <w:rsid w:val="0F4B67EF"/>
    <w:rsid w:val="0F5E2230"/>
    <w:rsid w:val="0FCF5312"/>
    <w:rsid w:val="103929F9"/>
    <w:rsid w:val="10845506"/>
    <w:rsid w:val="10A42F54"/>
    <w:rsid w:val="10DA5664"/>
    <w:rsid w:val="11130066"/>
    <w:rsid w:val="1129374C"/>
    <w:rsid w:val="11321804"/>
    <w:rsid w:val="118A1291"/>
    <w:rsid w:val="12120F9A"/>
    <w:rsid w:val="127A25AE"/>
    <w:rsid w:val="12CB53F3"/>
    <w:rsid w:val="13060AA5"/>
    <w:rsid w:val="13ED5B78"/>
    <w:rsid w:val="147C2289"/>
    <w:rsid w:val="158864EA"/>
    <w:rsid w:val="16133E3F"/>
    <w:rsid w:val="16E7731D"/>
    <w:rsid w:val="17542C92"/>
    <w:rsid w:val="18AA5B3E"/>
    <w:rsid w:val="18E775F6"/>
    <w:rsid w:val="194122C5"/>
    <w:rsid w:val="198C68B1"/>
    <w:rsid w:val="19E317D0"/>
    <w:rsid w:val="19E55B24"/>
    <w:rsid w:val="1B5A5199"/>
    <w:rsid w:val="1BD31CD2"/>
    <w:rsid w:val="1C7F7D65"/>
    <w:rsid w:val="1EA14CD7"/>
    <w:rsid w:val="1EA829C6"/>
    <w:rsid w:val="1F5C7CDA"/>
    <w:rsid w:val="1F7733F8"/>
    <w:rsid w:val="1F9C7116"/>
    <w:rsid w:val="200F0551"/>
    <w:rsid w:val="205076B4"/>
    <w:rsid w:val="2082712A"/>
    <w:rsid w:val="20BC0E6D"/>
    <w:rsid w:val="20BC2B52"/>
    <w:rsid w:val="21B11B74"/>
    <w:rsid w:val="21E56981"/>
    <w:rsid w:val="221162F0"/>
    <w:rsid w:val="222E632E"/>
    <w:rsid w:val="223D108B"/>
    <w:rsid w:val="231F3A56"/>
    <w:rsid w:val="232A7783"/>
    <w:rsid w:val="24556948"/>
    <w:rsid w:val="24715F69"/>
    <w:rsid w:val="263D51AB"/>
    <w:rsid w:val="267A6A06"/>
    <w:rsid w:val="275349A0"/>
    <w:rsid w:val="277513EA"/>
    <w:rsid w:val="280E671B"/>
    <w:rsid w:val="28807F98"/>
    <w:rsid w:val="28A12498"/>
    <w:rsid w:val="290D55CB"/>
    <w:rsid w:val="2A3C791B"/>
    <w:rsid w:val="2B034D47"/>
    <w:rsid w:val="2B6B5DA0"/>
    <w:rsid w:val="2CC92235"/>
    <w:rsid w:val="2CE43124"/>
    <w:rsid w:val="2D02572A"/>
    <w:rsid w:val="2D8824A9"/>
    <w:rsid w:val="2DBD3842"/>
    <w:rsid w:val="2DBD3CB8"/>
    <w:rsid w:val="2DEE03C6"/>
    <w:rsid w:val="2E1176AC"/>
    <w:rsid w:val="2ECB7AE0"/>
    <w:rsid w:val="2EFE4D91"/>
    <w:rsid w:val="2F196F3B"/>
    <w:rsid w:val="2F6A7113"/>
    <w:rsid w:val="3045363C"/>
    <w:rsid w:val="30C973EB"/>
    <w:rsid w:val="3148715D"/>
    <w:rsid w:val="31F51AC4"/>
    <w:rsid w:val="33672BF5"/>
    <w:rsid w:val="34112721"/>
    <w:rsid w:val="34197A09"/>
    <w:rsid w:val="36F50E5E"/>
    <w:rsid w:val="371D3B46"/>
    <w:rsid w:val="378F013D"/>
    <w:rsid w:val="38C45E44"/>
    <w:rsid w:val="39897BAC"/>
    <w:rsid w:val="3A5F5EF1"/>
    <w:rsid w:val="3B3C0DE4"/>
    <w:rsid w:val="3B65026E"/>
    <w:rsid w:val="3B745394"/>
    <w:rsid w:val="3BE52FCA"/>
    <w:rsid w:val="3BED3C5B"/>
    <w:rsid w:val="3BEE2238"/>
    <w:rsid w:val="3C4E1516"/>
    <w:rsid w:val="3CEF1E54"/>
    <w:rsid w:val="3D0D4822"/>
    <w:rsid w:val="3D0F477C"/>
    <w:rsid w:val="3D42461D"/>
    <w:rsid w:val="3D5035C7"/>
    <w:rsid w:val="3D6F2596"/>
    <w:rsid w:val="3E5A7593"/>
    <w:rsid w:val="3F526555"/>
    <w:rsid w:val="3FF32B7B"/>
    <w:rsid w:val="404F2C0F"/>
    <w:rsid w:val="404F7A6B"/>
    <w:rsid w:val="4057705B"/>
    <w:rsid w:val="40774476"/>
    <w:rsid w:val="40C765F3"/>
    <w:rsid w:val="40CB51A2"/>
    <w:rsid w:val="40CC463F"/>
    <w:rsid w:val="413649FE"/>
    <w:rsid w:val="413D4C8C"/>
    <w:rsid w:val="414D5F7A"/>
    <w:rsid w:val="42470C45"/>
    <w:rsid w:val="42CE6A0F"/>
    <w:rsid w:val="42E26F89"/>
    <w:rsid w:val="4306418D"/>
    <w:rsid w:val="433D5908"/>
    <w:rsid w:val="43C320E4"/>
    <w:rsid w:val="43F55E75"/>
    <w:rsid w:val="455509E4"/>
    <w:rsid w:val="45AD6960"/>
    <w:rsid w:val="45F5558B"/>
    <w:rsid w:val="45F60A50"/>
    <w:rsid w:val="46157ABD"/>
    <w:rsid w:val="46280997"/>
    <w:rsid w:val="46C62809"/>
    <w:rsid w:val="470460D8"/>
    <w:rsid w:val="471101FC"/>
    <w:rsid w:val="477801EF"/>
    <w:rsid w:val="47DB43C5"/>
    <w:rsid w:val="48E621D2"/>
    <w:rsid w:val="49CE5CC9"/>
    <w:rsid w:val="49F32061"/>
    <w:rsid w:val="4B72245E"/>
    <w:rsid w:val="4CC53F61"/>
    <w:rsid w:val="4D513299"/>
    <w:rsid w:val="4D9B1B6B"/>
    <w:rsid w:val="4E6F0AEA"/>
    <w:rsid w:val="4EA56C23"/>
    <w:rsid w:val="4F047D81"/>
    <w:rsid w:val="4F0B3630"/>
    <w:rsid w:val="4F455D1A"/>
    <w:rsid w:val="4F9305DC"/>
    <w:rsid w:val="4FBD6EC5"/>
    <w:rsid w:val="50DE3F26"/>
    <w:rsid w:val="512A4792"/>
    <w:rsid w:val="514C45A8"/>
    <w:rsid w:val="51B14BED"/>
    <w:rsid w:val="51CF00E7"/>
    <w:rsid w:val="52F664E7"/>
    <w:rsid w:val="52FE4FB2"/>
    <w:rsid w:val="53CD6942"/>
    <w:rsid w:val="54175BE1"/>
    <w:rsid w:val="544A23E1"/>
    <w:rsid w:val="545B4107"/>
    <w:rsid w:val="560E743D"/>
    <w:rsid w:val="562B47D9"/>
    <w:rsid w:val="564B25D4"/>
    <w:rsid w:val="566165B2"/>
    <w:rsid w:val="56D06899"/>
    <w:rsid w:val="574F4B00"/>
    <w:rsid w:val="578511BD"/>
    <w:rsid w:val="589D1473"/>
    <w:rsid w:val="58E11E6E"/>
    <w:rsid w:val="58F10112"/>
    <w:rsid w:val="59055722"/>
    <w:rsid w:val="590733E0"/>
    <w:rsid w:val="59813B79"/>
    <w:rsid w:val="59E05DA7"/>
    <w:rsid w:val="5A151B9F"/>
    <w:rsid w:val="5A26004C"/>
    <w:rsid w:val="5A66146E"/>
    <w:rsid w:val="5B010A05"/>
    <w:rsid w:val="5BAC2E0B"/>
    <w:rsid w:val="5C2B681A"/>
    <w:rsid w:val="5C73239E"/>
    <w:rsid w:val="5C9A012D"/>
    <w:rsid w:val="5D103461"/>
    <w:rsid w:val="5D6B2982"/>
    <w:rsid w:val="5D850376"/>
    <w:rsid w:val="5DEF4E34"/>
    <w:rsid w:val="5E3E674B"/>
    <w:rsid w:val="5EE53B14"/>
    <w:rsid w:val="5F2A43E8"/>
    <w:rsid w:val="5F736EB8"/>
    <w:rsid w:val="5F7F3C30"/>
    <w:rsid w:val="60552863"/>
    <w:rsid w:val="6086070B"/>
    <w:rsid w:val="613F4C87"/>
    <w:rsid w:val="619B09FD"/>
    <w:rsid w:val="6269154E"/>
    <w:rsid w:val="63357437"/>
    <w:rsid w:val="63416E9A"/>
    <w:rsid w:val="637958BB"/>
    <w:rsid w:val="6544784D"/>
    <w:rsid w:val="656357B3"/>
    <w:rsid w:val="65BB6156"/>
    <w:rsid w:val="65CD0C5C"/>
    <w:rsid w:val="65F872D3"/>
    <w:rsid w:val="66182E77"/>
    <w:rsid w:val="663E6DEC"/>
    <w:rsid w:val="66E759DF"/>
    <w:rsid w:val="68023456"/>
    <w:rsid w:val="68105991"/>
    <w:rsid w:val="68596385"/>
    <w:rsid w:val="68797DD1"/>
    <w:rsid w:val="68A411BE"/>
    <w:rsid w:val="693E43C4"/>
    <w:rsid w:val="6A2B1A73"/>
    <w:rsid w:val="6AA602DA"/>
    <w:rsid w:val="6B0D1503"/>
    <w:rsid w:val="6BD66290"/>
    <w:rsid w:val="6BE96A2C"/>
    <w:rsid w:val="6C0208BB"/>
    <w:rsid w:val="6C5B247C"/>
    <w:rsid w:val="6C7858D5"/>
    <w:rsid w:val="6C7C1F73"/>
    <w:rsid w:val="6CF36133"/>
    <w:rsid w:val="6DDE3DAF"/>
    <w:rsid w:val="6DFE2572"/>
    <w:rsid w:val="6E107894"/>
    <w:rsid w:val="6E804B52"/>
    <w:rsid w:val="6F08302E"/>
    <w:rsid w:val="6F4A01A7"/>
    <w:rsid w:val="70A55C85"/>
    <w:rsid w:val="7123768D"/>
    <w:rsid w:val="715F4C2D"/>
    <w:rsid w:val="72695C8F"/>
    <w:rsid w:val="726A3418"/>
    <w:rsid w:val="734F70BE"/>
    <w:rsid w:val="740C3A02"/>
    <w:rsid w:val="7445326B"/>
    <w:rsid w:val="75413810"/>
    <w:rsid w:val="76DB757D"/>
    <w:rsid w:val="77325751"/>
    <w:rsid w:val="773B4231"/>
    <w:rsid w:val="77770209"/>
    <w:rsid w:val="77B7237F"/>
    <w:rsid w:val="77E71107"/>
    <w:rsid w:val="783958DB"/>
    <w:rsid w:val="789B6040"/>
    <w:rsid w:val="79996986"/>
    <w:rsid w:val="79BD2210"/>
    <w:rsid w:val="7A4C1557"/>
    <w:rsid w:val="7AB943F6"/>
    <w:rsid w:val="7B636E5B"/>
    <w:rsid w:val="7BA5510A"/>
    <w:rsid w:val="7C45431D"/>
    <w:rsid w:val="7C963B24"/>
    <w:rsid w:val="7D1C165B"/>
    <w:rsid w:val="7DDD0501"/>
    <w:rsid w:val="7E2B63E7"/>
    <w:rsid w:val="7E935AFB"/>
    <w:rsid w:val="7E9465E8"/>
    <w:rsid w:val="7EB73420"/>
    <w:rsid w:val="7F7A7CA4"/>
    <w:rsid w:val="7FA91BE9"/>
    <w:rsid w:val="7FC50859"/>
    <w:rsid w:val="7FC9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0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1"/>
    <w:link w:val="21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4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2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List 2"/>
    <w:basedOn w:val="9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9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0">
    <w:name w:val="Date"/>
    <w:basedOn w:val="1"/>
    <w:next w:val="1"/>
    <w:link w:val="45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26"/>
    <w:semiHidden/>
    <w:unhideWhenUsed/>
    <w:qFormat/>
    <w:uiPriority w:val="99"/>
    <w:rPr>
      <w:sz w:val="18"/>
      <w:szCs w:val="18"/>
      <w:lang w:val="zh-CN"/>
    </w:rPr>
  </w:style>
  <w:style w:type="paragraph" w:styleId="12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3">
    <w:name w:val="header"/>
    <w:basedOn w:val="1"/>
    <w:link w:val="23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4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page number"/>
    <w:basedOn w:val="17"/>
    <w:semiHidden/>
    <w:qFormat/>
    <w:uiPriority w:val="0"/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Heading 2 Char1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2">
    <w:name w:val="Body Text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3">
    <w:name w:val="Header Char"/>
    <w:link w:val="13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4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5">
    <w:name w:val="Footer Char"/>
    <w:link w:val="12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6">
    <w:name w:val="Balloon Text Char"/>
    <w:link w:val="1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7">
    <w:name w:val="List Paragraph"/>
    <w:basedOn w:val="1"/>
    <w:link w:val="43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8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29">
    <w:name w:val="B1"/>
    <w:basedOn w:val="9"/>
    <w:link w:val="30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0">
    <w:name w:val="B1 (文字)"/>
    <w:link w:val="2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1">
    <w:name w:val="B1 Char1"/>
    <w:qFormat/>
    <w:uiPriority w:val="0"/>
    <w:rPr>
      <w:lang w:val="en-GB" w:eastAsia="en-US"/>
    </w:rPr>
  </w:style>
  <w:style w:type="paragraph" w:customStyle="1" w:styleId="32">
    <w:name w:val="TAH"/>
    <w:basedOn w:val="33"/>
    <w:link w:val="38"/>
    <w:qFormat/>
    <w:uiPriority w:val="0"/>
    <w:rPr>
      <w:b/>
    </w:rPr>
  </w:style>
  <w:style w:type="paragraph" w:customStyle="1" w:styleId="33">
    <w:name w:val="TAC"/>
    <w:basedOn w:val="34"/>
    <w:link w:val="37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4">
    <w:name w:val="TAL"/>
    <w:basedOn w:val="1"/>
    <w:link w:val="47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5">
    <w:name w:val="TH"/>
    <w:basedOn w:val="1"/>
    <w:link w:val="36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6">
    <w:name w:val="TH Char"/>
    <w:link w:val="35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7">
    <w:name w:val="TAC Char"/>
    <w:link w:val="33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8">
    <w:name w:val="TAH Car"/>
    <w:link w:val="32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0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1">
    <w:name w:val="RAN4 proposal"/>
    <w:basedOn w:val="6"/>
    <w:next w:val="1"/>
    <w:link w:val="42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2">
    <w:name w:val="RAN4 proposal Char"/>
    <w:link w:val="41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3">
    <w:name w:val="List Paragraph Char"/>
    <w:link w:val="27"/>
    <w:qFormat/>
    <w:uiPriority w:val="34"/>
    <w:rPr>
      <w:kern w:val="2"/>
      <w:sz w:val="21"/>
      <w:szCs w:val="22"/>
    </w:rPr>
  </w:style>
  <w:style w:type="character" w:customStyle="1" w:styleId="44">
    <w:name w:val="ZGSM"/>
    <w:qFormat/>
    <w:uiPriority w:val="0"/>
  </w:style>
  <w:style w:type="character" w:customStyle="1" w:styleId="45">
    <w:name w:val="Date Char"/>
    <w:link w:val="10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7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48">
    <w:name w:val="Heading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49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0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548</Words>
  <Characters>3128</Characters>
  <Lines>26</Lines>
  <Paragraphs>7</Paragraphs>
  <TotalTime>119</TotalTime>
  <ScaleCrop>false</ScaleCrop>
  <LinksUpToDate>false</LinksUpToDate>
  <CharactersWithSpaces>3669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</cp:lastModifiedBy>
  <cp:lastPrinted>2015-02-02T11:17:00Z</cp:lastPrinted>
  <dcterms:modified xsi:type="dcterms:W3CDTF">2022-02-14T12:10:17Z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